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95AE" w14:textId="77777777" w:rsidR="00DC329D" w:rsidRDefault="00DC329D" w:rsidP="00480074">
      <w:pPr>
        <w:spacing w:after="0" w:line="240" w:lineRule="auto"/>
        <w:rPr>
          <w:rFonts w:ascii="Sylfaen" w:eastAsia="Times New Roman" w:hAnsi="Sylfaen" w:cs="Arial"/>
          <w:b/>
          <w:bCs/>
          <w:color w:val="595959"/>
          <w:sz w:val="21"/>
          <w:szCs w:val="21"/>
          <w:shd w:val="clear" w:color="auto" w:fill="FFFFFF"/>
          <w:lang w:val="ru-RU"/>
        </w:rPr>
      </w:pPr>
    </w:p>
    <w:p w14:paraId="6F0937B5" w14:textId="77777777" w:rsidR="001E7A66" w:rsidRDefault="001E7A66" w:rsidP="00480074">
      <w:pPr>
        <w:spacing w:after="0" w:line="240" w:lineRule="auto"/>
        <w:rPr>
          <w:rFonts w:ascii="Sylfaen" w:eastAsia="Times New Roman" w:hAnsi="Sylfaen" w:cs="Arial"/>
          <w:b/>
          <w:bCs/>
          <w:color w:val="595959"/>
          <w:sz w:val="21"/>
          <w:szCs w:val="21"/>
          <w:shd w:val="clear" w:color="auto" w:fill="FFFFFF"/>
          <w:lang w:val="ru-RU"/>
        </w:rPr>
      </w:pPr>
    </w:p>
    <w:p w14:paraId="4FAB1290" w14:textId="28FDDA82" w:rsidR="00480074" w:rsidRPr="00AC0BC8" w:rsidRDefault="003641D2" w:rsidP="0048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446BCF" wp14:editId="3BE8CB4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312545" cy="1253490"/>
            <wp:effectExtent l="0" t="0" r="1905" b="3810"/>
            <wp:wrapTight wrapText="bothSides">
              <wp:wrapPolygon edited="0">
                <wp:start x="0" y="0"/>
                <wp:lineTo x="0" y="21337"/>
                <wp:lineTo x="21318" y="21337"/>
                <wp:lineTo x="21318" y="0"/>
                <wp:lineTo x="0" y="0"/>
              </wp:wrapPolygon>
            </wp:wrapTight>
            <wp:docPr id="1" name="Picture 1" descr="http://bsca.by/upload/images/56d5e55c94f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ca.by/upload/images/56d5e55c94f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074" w:rsidRPr="00AC0BC8">
        <w:rPr>
          <w:rFonts w:ascii="Sylfaen" w:eastAsia="Times New Roman" w:hAnsi="Sylfaen" w:cs="Arial"/>
          <w:b/>
          <w:bCs/>
          <w:color w:val="595959"/>
          <w:sz w:val="21"/>
          <w:szCs w:val="21"/>
          <w:shd w:val="clear" w:color="auto" w:fill="FFFFFF"/>
          <w:lang w:val="en-US"/>
        </w:rPr>
        <w:t xml:space="preserve">European Accreditation Association ( </w:t>
      </w:r>
      <w:r w:rsidR="00480074">
        <w:rPr>
          <w:rFonts w:ascii="Sylfaen" w:eastAsia="Times New Roman" w:hAnsi="Sylfaen" w:cs="Arial"/>
          <w:b/>
          <w:bCs/>
          <w:color w:val="595959"/>
          <w:sz w:val="21"/>
          <w:szCs w:val="21"/>
          <w:shd w:val="clear" w:color="auto" w:fill="FFFFFF"/>
        </w:rPr>
        <w:t xml:space="preserve">EA </w:t>
      </w:r>
      <w:r w:rsidR="00480074" w:rsidRPr="00AC0BC8">
        <w:rPr>
          <w:rFonts w:ascii="Sylfaen" w:eastAsia="Times New Roman" w:hAnsi="Sylfaen" w:cs="Arial"/>
          <w:b/>
          <w:bCs/>
          <w:color w:val="595959"/>
          <w:sz w:val="21"/>
          <w:szCs w:val="21"/>
          <w:shd w:val="clear" w:color="auto" w:fill="FFFFFF"/>
          <w:lang w:val="en-US"/>
        </w:rPr>
        <w:t>)</w:t>
      </w:r>
      <w:r w:rsidR="00480074" w:rsidRPr="00480074">
        <w:rPr>
          <w:rFonts w:ascii="Arial" w:eastAsia="Times New Roman" w:hAnsi="Arial" w:cs="Arial"/>
          <w:b/>
          <w:bCs/>
          <w:color w:val="595959"/>
          <w:sz w:val="21"/>
          <w:szCs w:val="21"/>
          <w:shd w:val="clear" w:color="auto" w:fill="FFFFFF"/>
        </w:rPr>
        <w:t> </w:t>
      </w:r>
      <w:r w:rsidR="00480074" w:rsidRPr="00AC0BC8">
        <w:rPr>
          <w:rFonts w:ascii="Arial" w:eastAsia="Times New Roman" w:hAnsi="Arial" w:cs="Arial"/>
          <w:color w:val="333333"/>
          <w:sz w:val="21"/>
          <w:szCs w:val="21"/>
          <w:lang w:val="en-US"/>
        </w:rPr>
        <w:br/>
      </w:r>
      <w:hyperlink r:id="rId6" w:tgtFrame="_blank" w:history="1">
        <w:r w:rsidR="00AC0BC8" w:rsidRPr="00480074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</w:rPr>
          <w:t>www</w:t>
        </w:r>
        <w:r w:rsidR="00AC0BC8" w:rsidRPr="00AC0BC8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  <w:lang w:val="en-US"/>
          </w:rPr>
          <w:t>.</w:t>
        </w:r>
        <w:proofErr w:type="spellStart"/>
        <w:r w:rsidR="00AC0BC8" w:rsidRPr="00480074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</w:rPr>
          <w:t>european</w:t>
        </w:r>
        <w:proofErr w:type="spellEnd"/>
        <w:r w:rsidR="00AC0BC8" w:rsidRPr="00AC0BC8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  <w:lang w:val="en-US"/>
          </w:rPr>
          <w:t>-</w:t>
        </w:r>
        <w:r w:rsidR="00AC0BC8" w:rsidRPr="00480074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</w:rPr>
          <w:t>accreditation</w:t>
        </w:r>
        <w:r w:rsidR="00AC0BC8" w:rsidRPr="00AC0BC8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  <w:lang w:val="en-US"/>
          </w:rPr>
          <w:t>.</w:t>
        </w:r>
        <w:r w:rsidR="00AC0BC8" w:rsidRPr="00480074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</w:rPr>
          <w:t>org</w:t>
        </w:r>
      </w:hyperlink>
    </w:p>
    <w:p w14:paraId="70F4093C" w14:textId="77777777" w:rsidR="00480074" w:rsidRPr="00AC0BC8" w:rsidRDefault="00480074" w:rsidP="00480074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/>
        </w:rPr>
      </w:pPr>
    </w:p>
    <w:p w14:paraId="5D13245A" w14:textId="6D3A5CF7" w:rsidR="002D456C" w:rsidRPr="00AC0BC8" w:rsidRDefault="00AC0BC8" w:rsidP="00480074">
      <w:pP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/>
        </w:rPr>
        <w:t>«N</w:t>
      </w:r>
      <w:proofErr w:type="spellStart"/>
      <w:r w:rsid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ational</w:t>
      </w:r>
      <w:proofErr w:type="spellEnd"/>
      <w:r w:rsidR="00480074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>a</w:t>
      </w:r>
      <w:proofErr w:type="spellStart"/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ccreditation</w:t>
      </w:r>
      <w:proofErr w:type="spellEnd"/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 xml:space="preserve"> </w:t>
      </w:r>
      <w:r w:rsid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body</w:t>
      </w:r>
      <w:r w:rsidR="00480074" w:rsidRPr="00AC0B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/>
        </w:rPr>
        <w:t xml:space="preserve">» </w:t>
      </w:r>
      <w:r w:rsid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SN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CO</w:t>
      </w:r>
      <w:r w:rsid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 xml:space="preserve"> </w:t>
      </w:r>
      <w:r w:rsidR="00480074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(ARMNAB) has been an associate member of the European Cooperation for Accreditation </w:t>
      </w:r>
      <w:r w:rsid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 xml:space="preserve">( </w:t>
      </w:r>
      <w:r w:rsidR="00DC329D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EA </w:t>
      </w:r>
      <w:r w:rsidR="00DC329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 xml:space="preserve">) </w:t>
      </w:r>
      <w:r w:rsidR="00DC329D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since November 24 </w:t>
      </w:r>
      <w:r w:rsidR="00480074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 w:rsid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2016 .</w:t>
      </w:r>
    </w:p>
    <w:p w14:paraId="42667DB7" w14:textId="77777777" w:rsidR="002D456C" w:rsidRPr="00AC0BC8" w:rsidRDefault="002D456C" w:rsidP="00480074">
      <w:pP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</w:pPr>
    </w:p>
    <w:p w14:paraId="70F1BA55" w14:textId="1DC92720" w:rsidR="001E7A66" w:rsidRPr="00AC0BC8" w:rsidRDefault="003641D2" w:rsidP="00480074">
      <w:pPr>
        <w:rPr>
          <w:lang w:val="en-US"/>
        </w:rPr>
      </w:pPr>
      <w:r w:rsidRPr="00AC0BC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CCC2069" wp14:editId="6E045B5F">
            <wp:simplePos x="0" y="0"/>
            <wp:positionH relativeFrom="column">
              <wp:posOffset>-59055</wp:posOffset>
            </wp:positionH>
            <wp:positionV relativeFrom="paragraph">
              <wp:posOffset>28575</wp:posOffset>
            </wp:positionV>
            <wp:extent cx="1113155" cy="1017270"/>
            <wp:effectExtent l="0" t="0" r="0" b="0"/>
            <wp:wrapTight wrapText="bothSides">
              <wp:wrapPolygon edited="0">
                <wp:start x="0" y="0"/>
                <wp:lineTo x="0" y="21034"/>
                <wp:lineTo x="21070" y="21034"/>
                <wp:lineTo x="21070" y="0"/>
                <wp:lineTo x="0" y="0"/>
              </wp:wrapPolygon>
            </wp:wrapTight>
            <wp:docPr id="2" name="Picture 2" descr="http://bsca.by/upload/images/56d5e317453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ca.by/upload/images/56d5e317453b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BC8" w:rsidRPr="00AC0BC8">
        <w:rPr>
          <w:b/>
          <w:bCs/>
        </w:rPr>
        <w:t xml:space="preserve"> </w:t>
      </w:r>
      <w:r w:rsidR="00AC0BC8" w:rsidRPr="00AC0BC8">
        <w:rPr>
          <w:b/>
          <w:bCs/>
          <w:noProof/>
        </w:rPr>
        <w:t>Interstate Council for Standardization, Metrology and Certification of Cooperation of Independent States</w:t>
      </w:r>
      <w:r w:rsidR="00AC0BC8" w:rsidRPr="00AC0BC8">
        <w:rPr>
          <w:rStyle w:val="Strong"/>
          <w:b w:val="0"/>
          <w:bCs w:val="0"/>
          <w:noProof/>
        </w:rPr>
        <w:t xml:space="preserve"> </w:t>
      </w:r>
      <w:r w:rsidR="001E7A66" w:rsidRPr="00AC0BC8">
        <w:rPr>
          <w:rStyle w:val="Strong"/>
          <w:rFonts w:ascii="Sylfaen" w:hAnsi="Sylfaen" w:cs="Arial"/>
          <w:b w:val="0"/>
          <w:bCs w:val="0"/>
          <w:color w:val="595959"/>
          <w:sz w:val="21"/>
          <w:szCs w:val="21"/>
          <w:shd w:val="clear" w:color="auto" w:fill="FFFFFF"/>
          <w:lang w:val="en-US"/>
        </w:rPr>
        <w:t>(M</w:t>
      </w:r>
      <w:r w:rsidR="00AC0BC8">
        <w:rPr>
          <w:rStyle w:val="Strong"/>
          <w:rFonts w:ascii="Sylfaen" w:hAnsi="Sylfaen" w:cs="Arial"/>
          <w:b w:val="0"/>
          <w:bCs w:val="0"/>
          <w:color w:val="595959"/>
          <w:sz w:val="21"/>
          <w:szCs w:val="21"/>
          <w:shd w:val="clear" w:color="auto" w:fill="FFFFFF"/>
          <w:lang w:val="en-US"/>
        </w:rPr>
        <w:t>G</w:t>
      </w:r>
      <w:r w:rsidR="001E7A66" w:rsidRPr="00AC0BC8">
        <w:rPr>
          <w:rStyle w:val="Strong"/>
          <w:rFonts w:ascii="Sylfaen" w:hAnsi="Sylfaen" w:cs="Arial"/>
          <w:b w:val="0"/>
          <w:bCs w:val="0"/>
          <w:color w:val="595959"/>
          <w:sz w:val="21"/>
          <w:szCs w:val="21"/>
          <w:shd w:val="clear" w:color="auto" w:fill="FFFFFF"/>
          <w:lang w:val="en-US"/>
        </w:rPr>
        <w:t>S</w:t>
      </w:r>
      <w:r w:rsidR="001E7A66" w:rsidRPr="00AC0BC8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en-US"/>
        </w:rPr>
        <w:t xml:space="preserve">) </w:t>
      </w:r>
      <w:r w:rsidR="001E7A66" w:rsidRPr="00AC0BC8">
        <w:rPr>
          <w:rFonts w:ascii="Arial" w:hAnsi="Arial" w:cs="Arial"/>
          <w:color w:val="333333"/>
          <w:sz w:val="21"/>
          <w:szCs w:val="21"/>
          <w:lang w:val="en-US"/>
        </w:rPr>
        <w:br/>
      </w:r>
      <w:hyperlink r:id="rId8" w:tgtFrame="_blank" w:history="1">
        <w:r w:rsidR="00AC0BC8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</w:rPr>
          <w:t>www</w:t>
        </w:r>
        <w:r w:rsidR="00AC0BC8" w:rsidRPr="00AC0BC8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  <w:lang w:val="en-US"/>
          </w:rPr>
          <w:t>.</w:t>
        </w:r>
        <w:proofErr w:type="spellStart"/>
        <w:r w:rsidR="00AC0BC8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</w:rPr>
          <w:t>easc</w:t>
        </w:r>
        <w:proofErr w:type="spellEnd"/>
        <w:r w:rsidR="00AC0BC8" w:rsidRPr="00AC0BC8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  <w:lang w:val="en-US"/>
          </w:rPr>
          <w:t>.</w:t>
        </w:r>
        <w:r w:rsidR="00AC0BC8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</w:rPr>
          <w:t>org</w:t>
        </w:r>
        <w:r w:rsidR="00AC0BC8" w:rsidRPr="00AC0BC8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  <w:lang w:val="en-US"/>
          </w:rPr>
          <w:t>.</w:t>
        </w:r>
        <w:r w:rsidR="00AC0BC8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</w:rPr>
          <w:t>by</w:t>
        </w:r>
      </w:hyperlink>
    </w:p>
    <w:p w14:paraId="04863B74" w14:textId="1E5CAED5" w:rsidR="00A61F57" w:rsidRPr="00AC0BC8" w:rsidRDefault="00AC0BC8" w:rsidP="007E7476">
      <w:pPr>
        <w:jc w:val="both"/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MGS</w:t>
      </w:r>
      <w:r w:rsidR="00A95EC1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A95EC1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 xml:space="preserve">is </w:t>
      </w:r>
      <w:r w:rsidR="00A95EC1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an intergovernmental body of the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>Cooperation of Independent States (CIS)</w:t>
      </w:r>
      <w:r w:rsidR="00A95EC1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, dealing with issues of policy formation and implementation in the field of technical regulation. The activity of </w:t>
      </w:r>
      <w:r w:rsidR="00442C1C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 xml:space="preserve">the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C</w:t>
      </w:r>
      <w:r w:rsidR="00442C1C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I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S</w:t>
      </w:r>
      <w:r w:rsidR="00442C1C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42C1C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>is</w:t>
      </w:r>
      <w:proofErr w:type="spellEnd"/>
      <w:r w:rsidR="00442C1C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carried out in accordance with the "Provisions of the Interstate Council for Standardization, Metrology and Certification" and is aimed at the </w:t>
      </w:r>
      <w:r w:rsidR="007E747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CIS</w:t>
      </w:r>
      <w:r w:rsidR="007E7476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implementation of the elimination of technical barriers to mutual trade </w:t>
      </w:r>
      <w:r w:rsidR="007E747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 xml:space="preserve">in the member </w:t>
      </w:r>
      <w:r w:rsidR="007E7476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>states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,</w:t>
      </w:r>
      <w:r w:rsidR="00711B08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 xml:space="preserve">relevant </w:t>
      </w:r>
      <w:r w:rsidR="00711B08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CIS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free</w:t>
      </w:r>
      <w:r w:rsidR="00711B08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trade</w:t>
      </w:r>
      <w:r w:rsidR="00711B08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zone</w:t>
      </w:r>
      <w:r w:rsidR="00711B08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Agreement</w:t>
      </w:r>
      <w:r w:rsidR="00711B08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, as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 xml:space="preserve">of </w:t>
      </w:r>
      <w:r w:rsidR="00711B08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>18.10.2011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 xml:space="preserve">. </w:t>
      </w:r>
      <w:r w:rsidR="002F51ED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>ARMNAB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, as</w:t>
      </w:r>
      <w:r w:rsidR="002F51ED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Armenia</w:t>
      </w:r>
      <w:r w:rsidR="002F51ED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Republic</w:t>
      </w:r>
      <w:r w:rsidR="002F51ED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accreditation</w:t>
      </w:r>
      <w:r w:rsidR="002F51ED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national</w:t>
      </w:r>
      <w:r w:rsidR="002F51ED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body</w:t>
      </w:r>
      <w:r w:rsidR="00FC09A1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participates</w:t>
      </w:r>
      <w:r w:rsidR="002F51ED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is</w:t>
      </w:r>
      <w:r w:rsidR="002F51ED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>i</w:t>
      </w:r>
      <w:r w:rsidR="00A61F57"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n the works of the following scientific and technical committee and working group of </w:t>
      </w:r>
      <w:r w:rsidR="00A61F57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the S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M</w:t>
      </w:r>
      <w:r w:rsidR="00A61F57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C :</w:t>
      </w:r>
    </w:p>
    <w:p w14:paraId="2CA38C43" w14:textId="77777777" w:rsidR="002F51ED" w:rsidRPr="00AC0BC8" w:rsidRDefault="00A61F57" w:rsidP="00A21362">
      <w:pPr>
        <w:jc w:val="both"/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</w:pPr>
      <w:r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>- Accreditation Scientific and Technical Commission (STCA),</w:t>
      </w:r>
    </w:p>
    <w:p w14:paraId="1948A5E2" w14:textId="77777777" w:rsidR="002F51ED" w:rsidRPr="00AC0BC8" w:rsidRDefault="00A61F57" w:rsidP="00A21362">
      <w:pPr>
        <w:jc w:val="both"/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</w:pPr>
      <w:r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>- working group for creation of regional accreditation organization (RG ROA).</w:t>
      </w:r>
    </w:p>
    <w:p w14:paraId="131083C7" w14:textId="4CB3FB38" w:rsidR="00131F46" w:rsidRPr="00AC0BC8" w:rsidRDefault="00A96AFB" w:rsidP="00A96AFB">
      <w:pPr>
        <w:spacing w:line="240" w:lineRule="auto"/>
        <w:rPr>
          <w:rStyle w:val="Hyperlink"/>
          <w:rFonts w:ascii="Arial" w:hAnsi="Arial"/>
          <w:color w:val="818181"/>
          <w:u w:val="none"/>
          <w:lang w:val="en-US"/>
        </w:rPr>
      </w:pPr>
      <w:r w:rsidRPr="00A96AFB">
        <w:rPr>
          <w:rStyle w:val="Strong"/>
          <w:rFonts w:ascii="Sylfaen" w:hAnsi="Sylfaen" w:cs="Arial"/>
          <w:noProof/>
          <w:color w:val="595959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383235D6" wp14:editId="794822FD">
            <wp:simplePos x="0" y="0"/>
            <wp:positionH relativeFrom="column">
              <wp:posOffset>-162560</wp:posOffset>
            </wp:positionH>
            <wp:positionV relativeFrom="paragraph">
              <wp:posOffset>90170</wp:posOffset>
            </wp:positionV>
            <wp:extent cx="2534920" cy="626745"/>
            <wp:effectExtent l="0" t="0" r="0" b="1905"/>
            <wp:wrapThrough wrapText="bothSides">
              <wp:wrapPolygon edited="0">
                <wp:start x="0" y="0"/>
                <wp:lineTo x="0" y="21009"/>
                <wp:lineTo x="21427" y="21009"/>
                <wp:lineTo x="21427" y="0"/>
                <wp:lineTo x="0" y="0"/>
              </wp:wrapPolygon>
            </wp:wrapThrough>
            <wp:docPr id="3" name="Picture 3" descr="Евразийский экономический союз (ЕАЭ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вразийский экономический союз (ЕАЭС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FB">
        <w:rPr>
          <w:rStyle w:val="Strong"/>
          <w:rFonts w:ascii="Sylfaen" w:hAnsi="Sylfaen"/>
          <w:color w:val="595959"/>
          <w:sz w:val="21"/>
          <w:szCs w:val="21"/>
        </w:rPr>
        <w:t>Eurasian</w:t>
      </w:r>
      <w:r w:rsidRPr="00AC0BC8">
        <w:rPr>
          <w:rStyle w:val="Strong"/>
          <w:rFonts w:ascii="Sylfaen" w:hAnsi="Sylfaen"/>
          <w:color w:val="595959"/>
          <w:sz w:val="21"/>
          <w:szCs w:val="21"/>
          <w:lang w:val="en-US"/>
        </w:rPr>
        <w:t xml:space="preserve"> </w:t>
      </w:r>
      <w:r w:rsidRPr="00A96AFB">
        <w:rPr>
          <w:rStyle w:val="Strong"/>
          <w:rFonts w:ascii="Sylfaen" w:hAnsi="Sylfaen"/>
          <w:color w:val="595959"/>
          <w:sz w:val="21"/>
          <w:szCs w:val="21"/>
        </w:rPr>
        <w:t>economic</w:t>
      </w:r>
      <w:r w:rsidRPr="00AC0BC8">
        <w:rPr>
          <w:rStyle w:val="Strong"/>
          <w:rFonts w:ascii="Sylfaen" w:hAnsi="Sylfaen"/>
          <w:color w:val="595959"/>
          <w:sz w:val="21"/>
          <w:szCs w:val="21"/>
          <w:lang w:val="en-US"/>
        </w:rPr>
        <w:t xml:space="preserve"> </w:t>
      </w:r>
      <w:r w:rsidRPr="00A96AFB">
        <w:rPr>
          <w:rStyle w:val="Strong"/>
          <w:rFonts w:ascii="Sylfaen" w:hAnsi="Sylfaen"/>
          <w:color w:val="595959"/>
          <w:sz w:val="21"/>
          <w:szCs w:val="21"/>
        </w:rPr>
        <w:t xml:space="preserve">union </w:t>
      </w:r>
      <w:r w:rsid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br/>
      </w:r>
      <w:r w:rsidR="00AC0BC8" w:rsidRPr="00AC0BC8">
        <w:rPr>
          <w:rStyle w:val="Hyperlink"/>
          <w:rFonts w:ascii="Arial" w:hAnsi="Arial"/>
          <w:color w:val="818181"/>
          <w:u w:val="none"/>
          <w:lang w:val="en-US"/>
        </w:rPr>
        <w:t>http://www.eurasiancommission.org</w:t>
      </w:r>
    </w:p>
    <w:p w14:paraId="513D75E6" w14:textId="77777777" w:rsidR="00AE11CA" w:rsidRDefault="00CF4A93" w:rsidP="003F3217">
      <w:pPr>
        <w:shd w:val="clear" w:color="auto" w:fill="FFFFFF"/>
        <w:spacing w:after="150" w:line="300" w:lineRule="atLeast"/>
        <w:rPr>
          <w:rFonts w:ascii="Sylfaen" w:eastAsia="Times New Roman" w:hAnsi="Sylfaen" w:cs="Arial"/>
          <w:color w:val="333333"/>
          <w:sz w:val="21"/>
          <w:szCs w:val="21"/>
          <w:lang w:val="en-US"/>
        </w:rPr>
      </w:pPr>
      <w:r w:rsidRPr="00AC0BC8">
        <w:rPr>
          <w:rFonts w:ascii="Sylfaen" w:eastAsia="Times New Roman" w:hAnsi="Sylfaen" w:cs="Arial"/>
          <w:color w:val="333333"/>
          <w:sz w:val="21"/>
          <w:szCs w:val="21"/>
          <w:lang w:val="en-US"/>
        </w:rPr>
        <w:t xml:space="preserve">Eurasian Economic Union - an international organization of regional economic integration, established </w:t>
      </w:r>
      <w:r w:rsidR="0038592F" w:rsidRPr="00AC0BC8">
        <w:rPr>
          <w:rFonts w:ascii="Sylfaen" w:eastAsia="Times New Roman" w:hAnsi="Sylfaen" w:cs="Arial"/>
          <w:color w:val="333333"/>
          <w:sz w:val="21"/>
          <w:szCs w:val="21"/>
          <w:lang w:val="en-US"/>
        </w:rPr>
        <w:t xml:space="preserve">on the basis of the </w:t>
      </w:r>
      <w:r w:rsidR="002D456C" w:rsidRPr="00AC0BC8">
        <w:rPr>
          <w:rFonts w:ascii="Sylfaen" w:eastAsia="Times New Roman" w:hAnsi="Sylfaen" w:cs="Arial"/>
          <w:color w:val="333333"/>
          <w:sz w:val="21"/>
          <w:szCs w:val="21"/>
          <w:lang w:val="en-US"/>
        </w:rPr>
        <w:br/>
      </w:r>
      <w:r w:rsidR="0038592F">
        <w:rPr>
          <w:rFonts w:ascii="Sylfaen" w:eastAsia="Times New Roman" w:hAnsi="Sylfaen" w:cs="Arial"/>
          <w:color w:val="333333"/>
          <w:sz w:val="21"/>
          <w:szCs w:val="21"/>
        </w:rPr>
        <w:t xml:space="preserve">"Eurasian Economic Union" Treaty. </w:t>
      </w:r>
      <w:r w:rsidR="00563190" w:rsidRPr="00AC0BC8">
        <w:rPr>
          <w:rFonts w:ascii="Sylfaen" w:eastAsia="Times New Roman" w:hAnsi="Sylfaen" w:cs="Arial"/>
          <w:color w:val="333333"/>
          <w:sz w:val="21"/>
          <w:szCs w:val="21"/>
          <w:lang w:val="en-US"/>
        </w:rPr>
        <w:t xml:space="preserve">Accreditation cooperation within the EAEU framework is carried out on the basis of the EAEU Agreement: </w:t>
      </w:r>
    </w:p>
    <w:p w14:paraId="0A654617" w14:textId="35DF1EF5" w:rsidR="00AE11CA" w:rsidRDefault="00C74CB6" w:rsidP="00AE11CA">
      <w:pPr>
        <w:pStyle w:val="ListParagraph"/>
        <w:numPr>
          <w:ilvl w:val="0"/>
          <w:numId w:val="6"/>
        </w:numPr>
        <w:shd w:val="clear" w:color="auto" w:fill="FFFFFF"/>
        <w:spacing w:after="150" w:line="300" w:lineRule="atLeast"/>
        <w:rPr>
          <w:rFonts w:ascii="Sylfaen" w:eastAsia="Times New Roman" w:hAnsi="Sylfaen" w:cs="Arial"/>
          <w:color w:val="333333"/>
          <w:sz w:val="21"/>
          <w:szCs w:val="21"/>
          <w:lang w:val="en-US"/>
        </w:rPr>
      </w:pPr>
      <w:r w:rsidRP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t>Article 54 "Accreditation "Section X "Technical Regulation "</w:t>
      </w:r>
      <w:r w:rsid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t>:</w:t>
      </w:r>
      <w:r w:rsidRP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t xml:space="preserve"> </w:t>
      </w:r>
    </w:p>
    <w:p w14:paraId="7B9C375D" w14:textId="17FA1794" w:rsidR="003F3217" w:rsidRPr="00AE11CA" w:rsidRDefault="002908F1" w:rsidP="00AE11CA">
      <w:pPr>
        <w:pStyle w:val="ListParagraph"/>
        <w:shd w:val="clear" w:color="auto" w:fill="FFFFFF"/>
        <w:spacing w:after="150" w:line="300" w:lineRule="atLeast"/>
        <w:rPr>
          <w:rFonts w:ascii="Sylfaen" w:eastAsia="Times New Roman" w:hAnsi="Sylfaen" w:cs="Arial"/>
          <w:color w:val="333333"/>
          <w:sz w:val="21"/>
          <w:szCs w:val="21"/>
          <w:lang w:val="en-US"/>
        </w:rPr>
      </w:pPr>
      <w:r w:rsidRP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t>- A</w:t>
      </w:r>
      <w:r w:rsid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t>nnex N</w:t>
      </w:r>
      <w:r w:rsidRPr="00AE11CA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9 </w:t>
      </w:r>
      <w:r w:rsidRP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t xml:space="preserve">"Protocol on Technical Regulation within the Eurasian Economic Union", </w:t>
      </w:r>
      <w:r w:rsidRP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br/>
        <w:t>- A</w:t>
      </w:r>
      <w:r w:rsid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t>nnex</w:t>
      </w:r>
      <w:r w:rsidRP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t xml:space="preserve"> </w:t>
      </w:r>
      <w:r w:rsidRPr="00AE11CA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N 10 </w:t>
      </w:r>
      <w:r w:rsidRP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t xml:space="preserve">"Uniformity of Measurements" Protocol on conducting an agreed policy in the field of assurance", </w:t>
      </w:r>
      <w:r w:rsidR="003F3217" w:rsidRP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br/>
        <w:t xml:space="preserve">- Annex </w:t>
      </w:r>
      <w:r w:rsidR="00AE11CA">
        <w:rPr>
          <w:rFonts w:ascii="Arial" w:eastAsia="Times New Roman" w:hAnsi="Arial" w:cs="Arial"/>
          <w:color w:val="333333"/>
          <w:sz w:val="21"/>
          <w:szCs w:val="21"/>
          <w:lang w:val="en-US"/>
        </w:rPr>
        <w:t>N</w:t>
      </w:r>
      <w:r w:rsidR="003F3217" w:rsidRPr="00AE11CA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11 </w:t>
      </w:r>
      <w:r w:rsidR="003F3217" w:rsidRPr="00AE11CA">
        <w:rPr>
          <w:rFonts w:ascii="Sylfaen" w:eastAsia="Times New Roman" w:hAnsi="Sylfaen" w:cs="Arial"/>
          <w:color w:val="333333"/>
          <w:sz w:val="21"/>
          <w:szCs w:val="21"/>
          <w:lang w:val="en-US"/>
        </w:rPr>
        <w:t>"Protocol on recognizing the results of accreditation work of conformity assessment bodies".</w:t>
      </w:r>
    </w:p>
    <w:p w14:paraId="3304F554" w14:textId="6AABA168" w:rsidR="00C71CD6" w:rsidRPr="00AC0BC8" w:rsidRDefault="00483DFC" w:rsidP="002D456C">
      <w:pPr>
        <w:shd w:val="clear" w:color="auto" w:fill="FFFFFF"/>
        <w:spacing w:after="150" w:line="300" w:lineRule="atLeast"/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</w:pPr>
      <w:r w:rsidRPr="00AC0BC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>ARMNAB</w:t>
      </w:r>
      <w:r w:rsidR="00AE11CA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 xml:space="preserve"> i</w:t>
      </w:r>
      <w:r w:rsidR="00AE11CA" w:rsidRPr="00AE11CA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en-US"/>
        </w:rPr>
        <w:t>s a member of the Eurasian Economic Commission "Subcommittee on Technical Regulation and Conformity Assessment of the Advisory Committee on Technical Regulation of Sanitary, Veterinary and Phytosanitary Means".</w:t>
      </w:r>
    </w:p>
    <w:sectPr w:rsidR="00C71CD6" w:rsidRPr="00AC0BC8" w:rsidSect="00483DFC">
      <w:pgSz w:w="12240" w:h="15840"/>
      <w:pgMar w:top="540" w:right="12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D09"/>
    <w:multiLevelType w:val="multilevel"/>
    <w:tmpl w:val="6A0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7492"/>
    <w:multiLevelType w:val="multilevel"/>
    <w:tmpl w:val="A2C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E317B"/>
    <w:multiLevelType w:val="multilevel"/>
    <w:tmpl w:val="E436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30162"/>
    <w:multiLevelType w:val="hybridMultilevel"/>
    <w:tmpl w:val="FF62F8F6"/>
    <w:lvl w:ilvl="0" w:tplc="CED0AA20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249CE"/>
    <w:multiLevelType w:val="multilevel"/>
    <w:tmpl w:val="45E8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33888"/>
    <w:multiLevelType w:val="multilevel"/>
    <w:tmpl w:val="D230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334008">
    <w:abstractNumId w:val="2"/>
  </w:num>
  <w:num w:numId="2" w16cid:durableId="1645892793">
    <w:abstractNumId w:val="0"/>
  </w:num>
  <w:num w:numId="3" w16cid:durableId="1551727260">
    <w:abstractNumId w:val="1"/>
  </w:num>
  <w:num w:numId="4" w16cid:durableId="1552767694">
    <w:abstractNumId w:val="5"/>
  </w:num>
  <w:num w:numId="5" w16cid:durableId="153684557">
    <w:abstractNumId w:val="4"/>
  </w:num>
  <w:num w:numId="6" w16cid:durableId="687679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074"/>
    <w:rsid w:val="00015A6D"/>
    <w:rsid w:val="00044CE6"/>
    <w:rsid w:val="000A7C1C"/>
    <w:rsid w:val="00131F46"/>
    <w:rsid w:val="001E7A66"/>
    <w:rsid w:val="002908F1"/>
    <w:rsid w:val="002C3FD7"/>
    <w:rsid w:val="002D456C"/>
    <w:rsid w:val="002F51ED"/>
    <w:rsid w:val="003641D2"/>
    <w:rsid w:val="0038592F"/>
    <w:rsid w:val="003F3217"/>
    <w:rsid w:val="00442C1C"/>
    <w:rsid w:val="00480074"/>
    <w:rsid w:val="00483DFC"/>
    <w:rsid w:val="005042BE"/>
    <w:rsid w:val="0053221C"/>
    <w:rsid w:val="00563190"/>
    <w:rsid w:val="005A19E9"/>
    <w:rsid w:val="006A04CC"/>
    <w:rsid w:val="00711B08"/>
    <w:rsid w:val="0078222C"/>
    <w:rsid w:val="007E7476"/>
    <w:rsid w:val="00840D5D"/>
    <w:rsid w:val="00944762"/>
    <w:rsid w:val="009574AB"/>
    <w:rsid w:val="00A21362"/>
    <w:rsid w:val="00A52023"/>
    <w:rsid w:val="00A61F57"/>
    <w:rsid w:val="00A95EC1"/>
    <w:rsid w:val="00A96AFB"/>
    <w:rsid w:val="00AC0BC8"/>
    <w:rsid w:val="00AE11CA"/>
    <w:rsid w:val="00BB3951"/>
    <w:rsid w:val="00C71CD6"/>
    <w:rsid w:val="00C74CB6"/>
    <w:rsid w:val="00CF4A93"/>
    <w:rsid w:val="00D84F2F"/>
    <w:rsid w:val="00DC329D"/>
    <w:rsid w:val="00E63364"/>
    <w:rsid w:val="00E86568"/>
    <w:rsid w:val="00F45709"/>
    <w:rsid w:val="00F93E35"/>
    <w:rsid w:val="00FA42A3"/>
    <w:rsid w:val="00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284D"/>
  <w15:docId w15:val="{80964647-0967-498D-B31A-45C5FB1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7A66"/>
    <w:rPr>
      <w:b/>
      <w:bCs/>
    </w:rPr>
  </w:style>
  <w:style w:type="character" w:customStyle="1" w:styleId="apple-converted-space">
    <w:name w:val="apple-converted-space"/>
    <w:basedOn w:val="DefaultParagraphFont"/>
    <w:rsid w:val="001E7A66"/>
  </w:style>
  <w:style w:type="character" w:styleId="Hyperlink">
    <w:name w:val="Hyperlink"/>
    <w:basedOn w:val="DefaultParagraphFont"/>
    <w:uiPriority w:val="99"/>
    <w:unhideWhenUsed/>
    <w:rsid w:val="001E7A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609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c.org.b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ean-accreditation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Назик Абгарян</cp:lastModifiedBy>
  <cp:revision>24</cp:revision>
  <cp:lastPrinted>2016-12-05T11:46:00Z</cp:lastPrinted>
  <dcterms:created xsi:type="dcterms:W3CDTF">2016-11-29T11:20:00Z</dcterms:created>
  <dcterms:modified xsi:type="dcterms:W3CDTF">2023-11-01T05:46:00Z</dcterms:modified>
</cp:coreProperties>
</file>